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1C" w:rsidRDefault="002C141C" w:rsidP="002C141C">
      <w:pPr>
        <w:pStyle w:val="a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C141C" w:rsidRDefault="002C141C" w:rsidP="002C141C">
      <w:pPr>
        <w:pStyle w:val="a3"/>
        <w:jc w:val="right"/>
        <w:rPr>
          <w:rFonts w:ascii="Times New Roman" w:hAnsi="Times New Roman" w:cs="Times New Roman"/>
          <w:b/>
        </w:rPr>
      </w:pPr>
    </w:p>
    <w:p w:rsidR="002C141C" w:rsidRDefault="002C141C" w:rsidP="002C141C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p w:rsidR="002C141C" w:rsidRDefault="002C141C" w:rsidP="002C141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доверительного управления № 23/ДУ-КФ</w:t>
      </w:r>
    </w:p>
    <w:p w:rsidR="002C141C" w:rsidRDefault="002C141C" w:rsidP="002C141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средствами компенсационного фонда Союза «Уральская саморегулируемая организация арбитражных управляющих» от 27 января 2017 г.</w:t>
      </w:r>
    </w:p>
    <w:p w:rsidR="002C141C" w:rsidRDefault="002C141C" w:rsidP="002C141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C141C" w:rsidRDefault="002C141C" w:rsidP="002C141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Инвестиционная декларация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инвестиционная декларация устанавливает цель инвестирования средств компенсационного фонда Союза «Уральская саморегулируемая организации арбитражных управляющих» (далее - Союз «УрСО АУ»), инвестиционную политику Управляющей компании, состав и структуру инвестиционного портфеля Управляющей компании.</w:t>
      </w:r>
    </w:p>
    <w:p w:rsidR="002C141C" w:rsidRDefault="002C141C" w:rsidP="002C14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Инвестиционная декларация утверждена Решением Совета Союза «Уральская саморегулируемая организация арбитражных управляющих» Протокол № </w:t>
      </w:r>
      <w:r w:rsidR="00304A4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от «04» апреля 2019 года.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инвестирования средств компенсационного фонда, переданных Союзом «УрСО АУ» в доверительное управление, является сохранение и прирост средств компенсационного фонда для обеспечения 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арбитражными управляющими – членами Союза «УрСО АУ» возложенных на них обязанностей в деле о банкротстве.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основе инвестиционной политики Управляющей компании лежит стратегия сохранения и увеличения капитала, предполагающая использование системы контроля рисков для получения среднего стабильного дохода при минимальном уровне риска в целях сохранения и приумножения средств компенсационного фонда, находящихся в доверительном управлении Управляющей компании.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компенсационного фонда размещаются в соответствии с настоящей Инвестиционной декларацией и с учётом ограничений, установленных Федеральным законом от 26.10.2002 г. № 127 ФЗ «О несостоятельности (банкротстве)».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и структура активов, в которые Управляющей компанией могут быть инвестированы средства компенсационного фонда Союза «УрСО АУ»:</w:t>
      </w:r>
    </w:p>
    <w:p w:rsidR="002C141C" w:rsidRDefault="002C141C" w:rsidP="002C141C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48"/>
        <w:gridCol w:w="2407"/>
        <w:gridCol w:w="2550"/>
      </w:tblGrid>
      <w:tr w:rsidR="002C141C" w:rsidTr="002C141C">
        <w:trPr>
          <w:trHeight w:val="94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C" w:rsidRDefault="002C141C">
            <w:pPr>
              <w:ind w:left="360"/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актива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</w:t>
            </w:r>
          </w:p>
          <w:p w:rsidR="002C141C" w:rsidRDefault="002C14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актива в инвестиционном портфеле управляющей компании</w:t>
            </w:r>
          </w:p>
          <w:p w:rsidR="002C141C" w:rsidRDefault="002C14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</w:p>
          <w:p w:rsidR="002C141C" w:rsidRDefault="002C14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актива в инвестиционном портфеле управляющей компании</w:t>
            </w:r>
          </w:p>
          <w:p w:rsidR="002C141C" w:rsidRDefault="002C14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2C141C" w:rsidTr="002C14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ценные бумаги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6C2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C141C" w:rsidTr="002C141C">
        <w:trPr>
          <w:trHeight w:val="8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 в рублях на счетах в российских кредитных организациях, в том числе депозиты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C141C" w:rsidTr="002C14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Иностранная валюта (евро) на счетах в российских кредитных организациях, в том числе депозиты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C141C" w:rsidTr="002C14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Иностранная валюта (доллары США) на счетах в российских кредитных организациях, в том числе депозиты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C" w:rsidRDefault="002C1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2C141C" w:rsidRDefault="002C141C" w:rsidP="002C141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 этом: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       средства компенсационного фонда могут быть размещены в активы, указанные в подпункте               1 настоящего пункта, только в случае, если они обращаются на организованном рынке ценных бумаг;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-  доли актива в инвестиционном портфеле Управляющей компании рассчитываются относительно Стоимости чистых активов (СЧА).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допускается размещение средств компенсационного фонда в иные объекты инвестирования, прямо не предусмотренные настоящей Инвестиционной декларацией.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случае нарушения требований к максимальной доле определенного класса активов в структуре инвестиционного портфеля из-за изменения рыночной или оценочной стоимости активов и/или изменения в структуре собственности эмитента, Управляющая компания обязуется скорректировать структуру активов в соответствии с требованиями к структуре инвестиционного портфеля в течение 6 (шести) месяцев с даты обнаружения указанного нарушения.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случае нарушения требований к максимальной доле определенного класса активов в структуре инвестиционного портфеля в результате действий Управляющей компании, Управляющая компания обязана устранить нарушение в течение 30 (тридцати) дней с даты обнаружения указанного нарушения.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Несоответствие структуры и состава активов компенсационного фонда в момент передачи средств компенсационного фонда в доверительное управление, а также в момент передачи дополнительных средств в доверительное управление не считается нарушением требований настоящей Инвестиционной декларации при условии, что Управляющая компания устранила такое несоответствие в течение 10 (десяти) рабочих дней с момента передачи.</w:t>
      </w:r>
    </w:p>
    <w:p w:rsidR="002C141C" w:rsidRDefault="002C141C" w:rsidP="002C141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является нарушением требований настоящей Инвестиционной декларации несоответствие состава и структуры активов компенсационного фонда, возникающее в момент вывода средств из доверительного управления по требованию Союза «УрСО АУ» в соответствии с Договором.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Если в результате изменения действующего законодательства Российской Федерации положения настоящей Инвестиционной декларации перестанут соответствовать требованиям каких-либо нормативных правовых актов, Управляющая компания будет руководствоваться требованиями соответствующих нормативных правовых актов вплоть до внесения необходимых изменений в настоящую Инвестиционную декларацию.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Описание рисков, связанных с инвестированием средств компенсационного фонда в активы, указанные в пункте 5 настоящей Инвестиционной декларации: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ab/>
        <w:t>Правовой риск. Возможность потерь от инвестирования в активы в связи с появлением новых или изменением существующих нормативных правовых актов. Правовой риск включает в себя также возможные потери в связи с наличием противоречий между нормативными правовыми актами, а также возможность их двойственной трактовки, что создает риск некорректного применения нормативных актов;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ab/>
        <w:t>Риск, связанный с размещением средств в банковские депозиты (вклады) и расчетный риск. Существует риск задержки платежей при переводе средств внутри страны, риск невозврата банком суммы вклада и /или процентов по нему;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ab/>
        <w:t>Риск эмитента. При инвестировании средств в государственные облигации существует риск дефолта эмитента. Отказ государства от обслуживания своих долговых обязательств случается достаточно редко и связан с обстоятельствами непреодолимой силы. Управляющая компания прилагает все усилия для уменьшения риска дефолта, приобретая ценные бумаги наиболее надежных эмитентов. Риск банкротства эмитента может привести к обесценению бумаги (вплоть до полной потери стоимости в случае с акциями) или к невозможности возврата ее номинальной стоимости (в случае с долговыми ценными бумагами);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ab/>
        <w:t>Рыночный риск. Может проявляться в неожиданном изменении цен на активы, что может повлечь за собой снижение стоимости инвестиций и, как следствие, снижение доходности или даже прямые убытки;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ab/>
        <w:t>Риск потери ликвидности. Связан с возможностью потерь при продаже ценных бумаг в связи с отсутствием предложений по покупке данных бумаг. Данный риск может проявиться, в частности, в случае необходимости быстрого вывода инвестированных средств с фондового рынка (например, при ликвидации клиентом портфеля ценных бумаг);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ab/>
        <w:t xml:space="preserve">Валютный риск. Связан с возможным неблагоприятным изменением курса рубля по отношению к иностранным валютам (американскому доллару, евро) вследствие чего средства компенсационного фонда могут быть подвержены инфляционному воздействию; 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ab/>
        <w:t>Экономические риски. Россия относится к странам с развивающейся экономикой. Механизмы, призванные обеспечивать стабильное экономическое развитие, находятся в стадии формирования. Россия имеет также большую внешнюю задолженность, на обслуживание которой отвлекаются значительные ресурсы;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−</w:t>
      </w:r>
      <w:r>
        <w:rPr>
          <w:rFonts w:ascii="Times New Roman" w:hAnsi="Times New Roman" w:cs="Times New Roman"/>
          <w:color w:val="000000" w:themeColor="text1"/>
        </w:rPr>
        <w:tab/>
        <w:t>Риски, связанные с налогообложением. Налоговая система Российской Федерации находится в процессе развития и подвержена различным толкованиям и постоянным изменениям. В результате, сегодняшняя трактовка и толкование существующих законов и порядков могут быть изменены в будущем. Союз «УрСО АУ» должен учитывать риски, связанные с налогообложением при размещении средств компенсационного фонда;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ab/>
        <w:t>Риски, связанные с использованием электронных и интернет-технологий. Характеризуются возможностью возникновения нарушений в нормальном функционировании систем обеспечения торгов (неисправности и сбои в работе оборудования, программного обеспечения, энергоснабжения и т.п.);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ab/>
        <w:t>Системный риск. Связан с потенциальной неспособностью большого числа финансовых институтов выполнять свои обязательства;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ab/>
        <w:t>Кредитный риск. Заключается в отказе контрагента от выполнения своих обязательств в случае неблагоприятного для него изменения рыночных условий;</w:t>
      </w:r>
    </w:p>
    <w:p w:rsidR="002C141C" w:rsidRDefault="002C141C" w:rsidP="002C141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ab/>
        <w:t>Операционный риск.  Данный риск заключается в возможности ошибочных действий третьих лиц и их мошеннических действий в процессе обработки транзакций, осуществления операций, связанных с хранением ценных бумаг и денежных средств, проведения расчетов и клиринга, либо их неправомерных действий в отношении имущества и охраняемых законом прав инвестора. К указанным третьим лицам, в частности, относятся: биржи, депозитарии, специализированные депозитарии, регистраторы, клиринговые и расчетные системы, эмитенты.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Настоящая Инвестиционная декларация действует в течение срока действия Договора, заключенного с Управляющей компанией.</w:t>
      </w:r>
    </w:p>
    <w:p w:rsidR="002C141C" w:rsidRDefault="002C141C" w:rsidP="002C141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Союз «УрСО АУ» вправе с согласия Управляющей компании изменить Инвестиционную декларацию. Изменения к Инвестиционной декларации оформляются в виде дополнительного соглашения к Договору и подписываются обеими Сторонами.</w:t>
      </w:r>
    </w:p>
    <w:p w:rsidR="002C141C" w:rsidRDefault="002C141C" w:rsidP="002C141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2C141C" w:rsidRDefault="002C141C" w:rsidP="002C141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2C141C" w:rsidRDefault="002C141C" w:rsidP="002C141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2C141C" w:rsidRDefault="002C141C" w:rsidP="002C141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2C141C" w:rsidRDefault="002C141C" w:rsidP="002C141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2C141C" w:rsidRDefault="002C141C" w:rsidP="002C141C">
      <w:pPr>
        <w:tabs>
          <w:tab w:val="left" w:pos="5222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Учредитель</w:t>
      </w:r>
      <w:r>
        <w:rPr>
          <w:rFonts w:ascii="Times New Roman" w:hAnsi="Times New Roman" w:cs="Times New Roman"/>
          <w:b/>
          <w:color w:val="000000" w:themeColor="text1"/>
        </w:rPr>
        <w:tab/>
        <w:t>Управляющая компания</w:t>
      </w:r>
    </w:p>
    <w:p w:rsidR="002C141C" w:rsidRDefault="002C141C" w:rsidP="002C141C">
      <w:pPr>
        <w:tabs>
          <w:tab w:val="left" w:pos="5222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Президент</w:t>
      </w:r>
      <w:r>
        <w:rPr>
          <w:rFonts w:ascii="Times New Roman" w:hAnsi="Times New Roman" w:cs="Times New Roman"/>
          <w:color w:val="000000" w:themeColor="text1"/>
        </w:rPr>
        <w:tab/>
        <w:t xml:space="preserve"> Генеральный директор</w:t>
      </w:r>
    </w:p>
    <w:p w:rsidR="002C141C" w:rsidRDefault="002C141C" w:rsidP="002C141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C141C" w:rsidRDefault="002C141C" w:rsidP="002C141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C141C" w:rsidRDefault="002C141C" w:rsidP="002C141C">
      <w:pPr>
        <w:tabs>
          <w:tab w:val="left" w:pos="5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 / Сачёв М.В. /                                ____________________ / Недильская И.Н. /</w:t>
      </w:r>
    </w:p>
    <w:p w:rsidR="002C141C" w:rsidRDefault="002C141C" w:rsidP="002C141C">
      <w:pPr>
        <w:tabs>
          <w:tab w:val="left" w:pos="5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  <w:t>м.п.</w:t>
      </w:r>
    </w:p>
    <w:p w:rsidR="002C141C" w:rsidRDefault="002C141C" w:rsidP="002C141C">
      <w:pPr>
        <w:tabs>
          <w:tab w:val="left" w:pos="5205"/>
        </w:tabs>
        <w:rPr>
          <w:rFonts w:ascii="Times New Roman" w:hAnsi="Times New Roman" w:cs="Times New Roman"/>
        </w:rPr>
      </w:pPr>
    </w:p>
    <w:p w:rsidR="002C141C" w:rsidRDefault="002C141C" w:rsidP="002C141C">
      <w:pPr>
        <w:tabs>
          <w:tab w:val="left" w:pos="5205"/>
        </w:tabs>
        <w:rPr>
          <w:rFonts w:ascii="Times New Roman" w:hAnsi="Times New Roman" w:cs="Times New Roman"/>
        </w:rPr>
      </w:pPr>
    </w:p>
    <w:p w:rsidR="002C141C" w:rsidRDefault="002C141C" w:rsidP="002C141C">
      <w:pPr>
        <w:tabs>
          <w:tab w:val="left" w:pos="5205"/>
        </w:tabs>
        <w:rPr>
          <w:rFonts w:ascii="Times New Roman" w:hAnsi="Times New Roman" w:cs="Times New Roman"/>
        </w:rPr>
      </w:pPr>
    </w:p>
    <w:p w:rsidR="002C141C" w:rsidRDefault="002C141C" w:rsidP="002C141C">
      <w:pPr>
        <w:tabs>
          <w:tab w:val="left" w:pos="5205"/>
        </w:tabs>
        <w:rPr>
          <w:rFonts w:ascii="Times New Roman" w:hAnsi="Times New Roman" w:cs="Times New Roman"/>
        </w:rPr>
      </w:pPr>
    </w:p>
    <w:p w:rsidR="002C141C" w:rsidRPr="002C141C" w:rsidRDefault="002C141C" w:rsidP="002C141C">
      <w:pPr>
        <w:tabs>
          <w:tab w:val="left" w:pos="5205"/>
        </w:tabs>
        <w:rPr>
          <w:rFonts w:ascii="Times New Roman" w:hAnsi="Times New Roman" w:cs="Times New Roman"/>
        </w:rPr>
      </w:pPr>
    </w:p>
    <w:sectPr w:rsidR="002C141C" w:rsidRPr="002C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7D" w:rsidRDefault="00B5317D" w:rsidP="00392D30">
      <w:pPr>
        <w:spacing w:after="0" w:line="240" w:lineRule="auto"/>
      </w:pPr>
      <w:r>
        <w:separator/>
      </w:r>
    </w:p>
  </w:endnote>
  <w:endnote w:type="continuationSeparator" w:id="0">
    <w:p w:rsidR="00B5317D" w:rsidRDefault="00B5317D" w:rsidP="0039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7D" w:rsidRDefault="00B5317D" w:rsidP="00392D30">
      <w:pPr>
        <w:spacing w:after="0" w:line="240" w:lineRule="auto"/>
      </w:pPr>
      <w:r>
        <w:separator/>
      </w:r>
    </w:p>
  </w:footnote>
  <w:footnote w:type="continuationSeparator" w:id="0">
    <w:p w:rsidR="00B5317D" w:rsidRDefault="00B5317D" w:rsidP="0039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949"/>
    <w:multiLevelType w:val="hybridMultilevel"/>
    <w:tmpl w:val="94A27F5A"/>
    <w:lvl w:ilvl="0" w:tplc="F5AA47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7F81"/>
    <w:multiLevelType w:val="hybridMultilevel"/>
    <w:tmpl w:val="90C0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4B74"/>
    <w:multiLevelType w:val="hybridMultilevel"/>
    <w:tmpl w:val="F6B8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2C"/>
    <w:rsid w:val="00056602"/>
    <w:rsid w:val="00056F2C"/>
    <w:rsid w:val="002005E6"/>
    <w:rsid w:val="002C141C"/>
    <w:rsid w:val="00304A4F"/>
    <w:rsid w:val="00392D30"/>
    <w:rsid w:val="003B0D09"/>
    <w:rsid w:val="00511FED"/>
    <w:rsid w:val="00534528"/>
    <w:rsid w:val="006234E1"/>
    <w:rsid w:val="006C27F1"/>
    <w:rsid w:val="007119C8"/>
    <w:rsid w:val="009447B4"/>
    <w:rsid w:val="00A9049F"/>
    <w:rsid w:val="00AA7F90"/>
    <w:rsid w:val="00AD348C"/>
    <w:rsid w:val="00B5317D"/>
    <w:rsid w:val="00D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B62F8-546D-4DCA-ABED-AACC11BD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4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45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E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D30"/>
  </w:style>
  <w:style w:type="paragraph" w:styleId="a9">
    <w:name w:val="footer"/>
    <w:basedOn w:val="a"/>
    <w:link w:val="aa"/>
    <w:uiPriority w:val="99"/>
    <w:unhideWhenUsed/>
    <w:rsid w:val="0039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Матвеев</dc:creator>
  <cp:keywords/>
  <dc:description/>
  <cp:lastModifiedBy>Ольга Кардапольцева</cp:lastModifiedBy>
  <cp:revision>2</cp:revision>
  <cp:lastPrinted>2019-04-08T09:59:00Z</cp:lastPrinted>
  <dcterms:created xsi:type="dcterms:W3CDTF">2019-04-08T10:29:00Z</dcterms:created>
  <dcterms:modified xsi:type="dcterms:W3CDTF">2019-04-08T10:29:00Z</dcterms:modified>
</cp:coreProperties>
</file>